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perTitle"/>
        <w:jc w:val="center"/>
      </w:pPr>
      <w:r>
        <w:t>Forward-Propagating Zero</w:t>
      </w:r>
    </w:p>
    <w:p>
      <w:pPr>
        <w:pStyle w:val="PaperSubtitle"/>
        <w:jc w:val="center"/>
      </w:pPr>
      <w:r>
        <w:t>An exploratory conceptual paper on zero, error, resonance, conceptual constants, and number-theoretic boundaries</w:t>
      </w:r>
    </w:p>
    <w:p>
      <w:pPr>
        <w:jc w:val="center"/>
      </w:pPr>
      <w:r>
        <w:rPr>
          <w:i/>
        </w:rPr>
        <w:t>Prepared from the author's discussion notes and conceptual equations developed in conversation.</w:t>
      </w:r>
    </w:p>
    <w:p>
      <w:pPr>
        <w:pStyle w:val="SmallNote"/>
        <w:jc w:val="center"/>
      </w:pPr>
      <w:r>
        <w:t>This document is presented as a speculative conceptual framework rather than an empirically validated scientific theory.</w:t>
      </w:r>
    </w:p>
    <w:p/>
    <w:p>
      <w:pPr>
        <w:pStyle w:val="SectionHead"/>
        <w:jc w:val="left"/>
      </w:pPr>
      <w:r>
        <w:t>Abstract</w:t>
      </w:r>
    </w:p>
    <w:p>
      <w:pPr/>
      <w:r>
        <w:t>This paper organizes a set of exploratory ideas into a coherent research-style framework. The central proposal is that zero can be treated not merely as absence, but as a dynamic equilibrium capable of forward propagation when disturbed by error. Within this framework, unity functions as a balance constant, bounded error functions as tolerated deviation, and oscillatory relations among sine, cosine, and tangent are interpreted as mechanisms by which direction emerges from equilibrium. A generalized resonance equation is then introduced to probe multiscale oscillation and to test conceptual variants of the constants e and π through a probed growth term e_p and bounded phase terms π_u and π_l. Computational realizations, including visual resonance maps and equation-driven audio synthesis, suggest that the framework is useful as an exploratory instrument for pattern detection, even though it does not constitute proof of any new theorem or law of nature. The paper concludes by relating these ideas to prime numbers, error taxonomy, and the boundary role of the integers 1 and 0.</w:t>
      </w:r>
    </w:p>
    <w:p>
      <w:pPr>
        <w:pStyle w:val="SectionHead"/>
      </w:pPr>
      <w:r>
        <w:t>1. Introduction</w:t>
      </w:r>
    </w:p>
    <w:p>
      <w:pPr/>
      <w:r>
        <w:t>The discussion developed during the day moved across several domains: conceptual physics, symbolic mathematics, oscillatory systems, audio synthesis, machine learning intuition, and number theory. Although the ideas were initially expressed informally, they revolve around a common question: how does structure emerge from equilibrium? The present paper gives those ideas a disciplined form without claiming more than the material can support.</w:t>
      </w:r>
    </w:p>
    <w:p>
      <w:pPr/>
      <w:r>
        <w:t>The proposal is intentionally hybrid. Some components are standard mathematics, some are metaphorical extensions of mathematical language, and some are computational probes meant to reveal patterns rather than deliver proofs. For that reason, every section below distinguishes between formal identity, conceptual interpretation, and exploratory consequence.</w:t>
      </w:r>
    </w:p>
    <w:p>
      <w:pPr/>
      <w:r>
        <w:t>A key methodological principle runs throughout: patterns observed in maps, oscillators, or symbolic equations should be treated as signatures to investigate, not as final demonstrations. The paper therefore frames its claims carefully, emphasizing usefulness as a conceptual model and experimental instrument.</w:t>
      </w:r>
    </w:p>
    <w:p>
      <w:pPr>
        <w:pStyle w:val="SectionHead"/>
      </w:pPr>
      <w:r>
        <w:t>2. Core postulates of the framework</w:t>
      </w:r>
    </w:p>
    <w:p>
      <w:pPr>
        <w:pStyle w:val="SubsectionHead"/>
      </w:pPr>
      <w:r>
        <w:t>2.1. Zero as dynamic equilibrium</w:t>
      </w:r>
    </w:p>
    <w:p>
      <w:pPr/>
      <w:r>
        <w:t>In ordinary arithmetic, zero is neutral: it represents no quantity. In the present framework, however, zero is reinterpreted as a balanced state that can remain stable or become directional under disturbance. This motivates the distinction between balanced zero and forward-propagating zero.</w:t>
      </w:r>
    </w:p>
    <w:p>
      <w:pPr>
        <w:pStyle w:val="Equation"/>
      </w:pPr>
      <w:r>
        <w:t>0_b = balanced zero</w:t>
      </w:r>
    </w:p>
    <w:p>
      <w:pPr>
        <w:pStyle w:val="Equation"/>
      </w:pPr>
      <w:r>
        <w:t>0_f = forward-propagating zero</w:t>
      </w:r>
    </w:p>
    <w:p>
      <w:pPr/>
      <w:r>
        <w:t>The conceptual transition is then written as:</w:t>
      </w:r>
    </w:p>
    <w:p>
      <w:pPr>
        <w:pStyle w:val="Equation"/>
      </w:pPr>
      <w:r>
        <w:t>0_f = 0_b + err</w:t>
      </w:r>
    </w:p>
    <w:p>
      <w:pPr/>
      <w:r>
        <w:t>Here err is not merely a flaw. It is the minimal departure from perfect balance that allows motion, asymmetry, or becoming to begin.</w:t>
      </w:r>
    </w:p>
    <w:p>
      <w:pPr>
        <w:pStyle w:val="SubsectionHead"/>
      </w:pPr>
      <w:r>
        <w:t>2.2. Unity and tolerance</w:t>
      </w:r>
    </w:p>
    <w:p>
      <w:pPr/>
      <w:r>
        <w:t>A second pillar of the framework is the claim that balanced systems normalize toward unity. Unity is therefore treated not just as the arithmetic value 1, but as a balance target under scaling.</w:t>
      </w:r>
    </w:p>
    <w:p>
      <w:pPr>
        <w:pStyle w:val="Equation"/>
      </w:pPr>
      <w:r>
        <w:t>K_u = 1</w:t>
      </w:r>
    </w:p>
    <w:p>
      <w:pPr/>
      <w:r>
        <w:t>The permitted deviation from that target is described by a tolerance constant:</w:t>
      </w:r>
    </w:p>
    <w:p>
      <w:pPr>
        <w:pStyle w:val="Equation"/>
      </w:pPr>
      <w:r>
        <w:t>K_t = e / π^2</w:t>
      </w:r>
    </w:p>
    <w:p>
      <w:pPr/>
      <w:r>
        <w:t>Balance is then said to hold when a quantity X approaches unity while remaining inside the tolerated band:</w:t>
      </w:r>
    </w:p>
    <w:p>
      <w:pPr>
        <w:pStyle w:val="Equation"/>
      </w:pPr>
      <w:r>
        <w:t>|X - K_u| &lt; K_t</w:t>
      </w:r>
    </w:p>
    <w:p>
      <w:pPr/>
      <w:r>
        <w:t>This formulation does not change standard mathematics; rather, it provides a language in which normalized equivalence, bounded error, and near-agreement between continuous and discrete descriptions can be discussed together.</w:t>
      </w:r>
    </w:p>
    <w:p>
      <w:pPr>
        <w:pStyle w:val="SubsectionHead"/>
      </w:pPr>
      <w:r>
        <w:t>2.3. Continuous and discrete equivalence</w:t>
      </w:r>
    </w:p>
    <w:p>
      <w:pPr/>
      <w:r>
        <w:t>One recurring idea in the discussion was that integration and summation may become effectively equivalent when the step size is sufficiently small. In standard analysis this is the familiar passage from Riemann sums to integrals. In the present framework, that limiting agreement is read as a route toward unity.</w:t>
      </w:r>
    </w:p>
    <w:p>
      <w:pPr>
        <w:pStyle w:val="Equation"/>
      </w:pPr>
      <w:r>
        <w:t>∫ (a/b) dx ≈ Σ (a/b) Δx,  for Δx &lt;&lt; 1</w:t>
      </w:r>
    </w:p>
    <w:p>
      <w:pPr/>
      <w:r>
        <w:t>The conceptual meaning is that the continuous and the discrete are not adversaries; they are different modes of approaching the same normalized relation.</w:t>
      </w:r>
    </w:p>
    <w:p>
      <w:pPr>
        <w:pStyle w:val="SectionHead"/>
      </w:pPr>
      <w:r>
        <w:t>3. Error as generator rather than residue</w:t>
      </w:r>
    </w:p>
    <w:p>
      <w:pPr>
        <w:pStyle w:val="SubsectionHead"/>
      </w:pPr>
      <w:r>
        <w:t>3.1. Three kinds of error</w:t>
      </w:r>
    </w:p>
    <w:p>
      <w:pPr/>
      <w:r>
        <w:t>Error was repeatedly treated as the first cause of propagation. To make that idea more precise, the discussion separated error into three components:</w:t>
      </w:r>
    </w:p>
    <w:p>
      <w:pPr>
        <w:pStyle w:val="Equation"/>
      </w:pPr>
      <w:r>
        <w:t>err = err_r + err_s + err_str</w:t>
      </w:r>
    </w:p>
    <w:p>
      <w:pPr/>
      <w:r>
        <w:t>where err_r is random error, err_s is systematic error, and err_str is structural error.</w:t>
      </w:r>
    </w:p>
    <w:p>
      <w:pPr/>
      <w:r>
        <w:t>Random error wanders, systematic error leans, and structural error indicates that the form of the model itself is inadequate. This triad is useful both conceptually and computationally, especially in relation to machine learning and model criticism.</w:t>
      </w:r>
    </w:p>
    <w:p>
      <w:pPr>
        <w:pStyle w:val="SubsectionHead"/>
      </w:pPr>
      <w:r>
        <w:t>3.2. Error dominance ratio</w:t>
      </w:r>
    </w:p>
    <w:p>
      <w:pPr/>
      <w:r>
        <w:t>A useful derived quantity is the ratio of surface error to deep error:</w:t>
      </w:r>
    </w:p>
    <w:p>
      <w:pPr>
        <w:pStyle w:val="Equation"/>
      </w:pPr>
      <w:r>
        <w:t>R_e = (err_r + err_s) / (err_str + ε)</w:t>
      </w:r>
    </w:p>
    <w:p>
      <w:pPr/>
      <w:r>
        <w:t>with ε included as a stabilizing term to avoid division by zero. When R_e is large, observed failure is dominated by randomness and bias. When R_e is small, the main problem is structural mismatch. This ratio does not appear as a standard theorem; instead, it functions as a diagnostic lens.</w:t>
      </w:r>
    </w:p>
    <w:p>
      <w:pPr>
        <w:pStyle w:val="SectionHead"/>
      </w:pPr>
      <w:r>
        <w:t>4. Oscillation, direction, and growth</w:t>
      </w:r>
    </w:p>
    <w:p>
      <w:pPr>
        <w:pStyle w:val="SubsectionHead"/>
      </w:pPr>
      <w:r>
        <w:t>4.1. Sine, cosine, and tangent</w:t>
      </w:r>
    </w:p>
    <w:p>
      <w:pPr/>
      <w:r>
        <w:t>The framework repeatedly returns to trigonometric oscillation. Sine and cosine are interpreted as complementary oscillatory components, while tangent is treated as the directional ratio extracted from them.</w:t>
      </w:r>
    </w:p>
    <w:p>
      <w:pPr>
        <w:pStyle w:val="Equation"/>
      </w:pPr>
      <w:r>
        <w:t>tan(θ) = sin(θ) / cos(θ)</w:t>
      </w:r>
    </w:p>
    <w:p>
      <w:pPr/>
      <w:r>
        <w:t>In conceptual terms, sine and cosine 'breathe', and tangent chooses a way forward. This interpretation is intentionally poetic, but it remains anchored in the standard identity above.</w:t>
      </w:r>
    </w:p>
    <w:p>
      <w:pPr/>
      <w:r>
        <w:t>The discussion also clarified that tangent is not equal to its own derivative in standard calculus:</w:t>
      </w:r>
    </w:p>
    <w:p>
      <w:pPr>
        <w:pStyle w:val="Equation"/>
      </w:pPr>
      <w:r>
        <w:t>d/dx tan(x) = sec^2(x)</w:t>
      </w:r>
    </w:p>
    <w:p>
      <w:pPr/>
      <w:r>
        <w:t>Thus direction and change-of-direction must be kept distinct. Within the framework, tan(θ) may stand for directional bias, while sec^2(θ) stands for the rate at which that bias amplifies.</w:t>
      </w:r>
    </w:p>
    <w:p>
      <w:pPr>
        <w:pStyle w:val="SubsectionHead"/>
      </w:pPr>
      <w:r>
        <w:t>4.2. The question of e</w:t>
      </w:r>
    </w:p>
    <w:p>
      <w:pPr/>
      <w:r>
        <w:t>A provocative statement from the discussion was 'e = ?'. Taken literally, this is false in standard mathematics, because e is a fixed real constant. Within the framework, however, the statement is reinterpreted as a research question: what if e is treated as the probed law of growth rather than as a passive given?</w:t>
      </w:r>
    </w:p>
    <w:p>
      <w:pPr>
        <w:pStyle w:val="Equation"/>
      </w:pPr>
      <w:r>
        <w:t>e_p = probed form of e</w:t>
      </w:r>
    </w:p>
    <w:p>
      <w:pPr/>
      <w:r>
        <w:t>This move does not alter the value of e in mathematics. It instead creates an operational variable that can be inserted into resonance equations to test whether nearby growth scales leave distinct signatures.</w:t>
      </w:r>
    </w:p>
    <w:p>
      <w:pPr>
        <w:pStyle w:val="SectionHead"/>
      </w:pPr>
      <w:r>
        <w:t>5. Generalized resonance formulation</w:t>
      </w:r>
    </w:p>
    <w:p>
      <w:pPr>
        <w:pStyle w:val="SubsectionHead"/>
      </w:pPr>
      <w:r>
        <w:t>5.1. Nested resonance ratio</w:t>
      </w:r>
    </w:p>
    <w:p>
      <w:pPr/>
      <w:r>
        <w:t>The first working equation compared oscillatory activity at different root scales:</w:t>
      </w:r>
    </w:p>
    <w:p>
      <w:pPr>
        <w:pStyle w:val="Equation"/>
      </w:pPr>
      <w:r>
        <w:t>y = x·sin(x^(1/n)) / ( x^(1/n)·sin(x^(1/(n+1))) + ε )</w:t>
      </w:r>
    </w:p>
    <w:p>
      <w:pPr/>
      <w:r>
        <w:t>This expression is deterministic, not random. Nevertheless, because numerator and denominator oscillate at different root scales and the denominator can approach zero, the resulting field exhibits bands, ridges, troughs, and bursts that can look noise-like or naturalistic when sonified.</w:t>
      </w:r>
    </w:p>
    <w:p>
      <w:pPr>
        <w:pStyle w:val="SubsectionHead"/>
      </w:pPr>
      <w:r>
        <w:t>5.2. Three independent resonance roles</w:t>
      </w:r>
    </w:p>
    <w:p>
      <w:pPr/>
      <w:r>
        <w:t>The single scale parameter n was then generalized into three independent variables:</w:t>
      </w:r>
    </w:p>
    <w:p>
      <w:pPr>
        <w:pStyle w:val="Equation"/>
      </w:pPr>
      <w:r>
        <w:t>y = x·sin(x^(1/n₁)) / ( x^(1/n₂)·sin(x^(1/n₃)) + ε )</w:t>
      </w:r>
    </w:p>
    <w:p>
      <w:pPr/>
      <w:r>
        <w:t>Here n₁ controls numerator phase, n₂ controls denominator scaling, and n₃ controls denominator phase. This separates excitation, damping tendency, and sensitivity boundary into distinct roles, greatly enriching both the map structure and the audio behavior.</w:t>
      </w:r>
    </w:p>
    <w:p>
      <w:pPr>
        <w:pStyle w:val="SubsectionHead"/>
      </w:pPr>
      <w:r>
        <w:t>5.3. Conceptual constants</w:t>
      </w:r>
    </w:p>
    <w:p>
      <w:pPr/>
      <w:r>
        <w:t>To test whether representation of constants matters, three more conceptual variables were introduced:</w:t>
      </w:r>
    </w:p>
    <w:p>
      <w:pPr>
        <w:pStyle w:val="Equation"/>
      </w:pPr>
      <w:r>
        <w:t>e_p = probed form of e</w:t>
      </w:r>
    </w:p>
    <w:p>
      <w:pPr>
        <w:pStyle w:val="Equation"/>
      </w:pPr>
      <w:r>
        <w:t>π_u(d) = ceil(π·10^d) / 10^d</w:t>
      </w:r>
    </w:p>
    <w:p>
      <w:pPr>
        <w:pStyle w:val="Equation"/>
      </w:pPr>
      <w:r>
        <w:t>π_l(d) = floor(π·10^d) / 10^d</w:t>
      </w:r>
    </w:p>
    <w:p>
      <w:pPr/>
      <w:r>
        <w:t>Thus π_u is π rounded up to d decimal places and π_l is π rounded down to d decimal places. These define a resolution-dependent envelope around π.</w:t>
      </w:r>
    </w:p>
    <w:p>
      <w:pPr/>
      <w:r>
        <w:t>The resulting conceptual-constants equation becomes:</w:t>
      </w:r>
    </w:p>
    <w:p>
      <w:pPr>
        <w:pStyle w:val="Equation"/>
      </w:pPr>
      <w:r>
        <w:t>y = x·sin(x^(1/e_p)) / ( x^(1/π_u)·sin(x^(1/π_l)) + ε )</w:t>
      </w:r>
    </w:p>
    <w:p>
      <w:pPr/>
      <w:r>
        <w:t>This equation was used in two exploratory instruments: a resonance map that displays the field over chosen parameter ranges, and a noise generator that converts the evolving value of y into audio. Observed differences between exact constants and conceptual variants are best interpreted as fingerprints to investigate, not proofs about the intrinsic nature of e or π.</w:t>
      </w:r>
    </w:p>
    <w:p>
      <w:pPr>
        <w:pStyle w:val="SectionHead"/>
      </w:pPr>
      <w:r>
        <w:t>6. Computational instruments and exploratory observations</w:t>
      </w:r>
    </w:p>
    <w:p>
      <w:pPr>
        <w:pStyle w:val="SubsectionHead"/>
      </w:pPr>
      <w:r>
        <w:t>6.1. Resonance maps</w:t>
      </w:r>
    </w:p>
    <w:p>
      <w:pPr/>
      <w:r>
        <w:t>A heat-map view of the generalized equation reveals where the field stays smooth, where phase opposition dominates, and where denominator sensitivity generates sharp seams. In these maps, warm ridges indicate amplification, cool troughs indicate opposition, and white contours mark near-zero denominator regions.</w:t>
      </w:r>
    </w:p>
    <w:p>
      <w:pPr/>
      <w:r>
        <w:t>Three recurring observations were noted. First, increasing root-scale parameters tends to flatten phase growth and broaden the field. Second, decreasing ε reveals sharper singular structure. Third, conceptual substitutions for e and π can shift boundaries in ways that seem qualitatively stable over moderate parameter changes.</w:t>
      </w:r>
    </w:p>
    <w:p>
      <w:pPr>
        <w:pStyle w:val="SubsectionHead"/>
      </w:pPr>
      <w:r>
        <w:t>6.2. Audio synthesis</w:t>
      </w:r>
    </w:p>
    <w:p>
      <w:pPr/>
      <w:r>
        <w:t>The same equations were also turned into audio oscillators and noise generators. Because the formulas are deterministic, the resulting sound is not true random noise. Instead, it is structured mathematical noise arising from multiscale interference and near-singular amplification. Depending on parameter settings, the sound can range from smooth drift to crackling turbulence.</w:t>
      </w:r>
    </w:p>
    <w:p>
      <w:pPr/>
      <w:r>
        <w:t>This computational use is valuable even without any strong theoretical claim. Sonification makes it easier to hear regime changes that may be difficult to see in a static formula.</w:t>
      </w:r>
    </w:p>
    <w:p>
      <w:pPr>
        <w:pStyle w:val="SectionHead"/>
      </w:pPr>
      <w:r>
        <w:t>7. Prime numbers, 1, and the return toward zero</w:t>
      </w:r>
    </w:p>
    <w:p>
      <w:pPr/>
      <w:r>
        <w:t>The later part of the discussion turned to prime numbers. Several candidate integers were tested for primality, and this led to a symbolic interpretation of the descent toward smaller numbers:</w:t>
      </w:r>
    </w:p>
    <w:p>
      <w:pPr>
        <w:pStyle w:val="Equation"/>
      </w:pPr>
      <w:r>
        <w:t>..., 29, 17, 11, 5, 3, 2, 1, 0_f</w:t>
      </w:r>
    </w:p>
    <w:p>
      <w:pPr/>
      <w:r>
        <w:t>In standard number theory, 1 is neither prime nor composite. Within the present framework, this feature becomes philosophically suggestive. The primes are treated as forward-emergent singularities in the integers, while 1 becomes the final non-prime boundary before conceptual return to forward-propagating zero.</w:t>
      </w:r>
    </w:p>
    <w:p>
      <w:pPr/>
      <w:r>
        <w:t>This does not constitute a new theorem about primes. It is instead a symbolic reading: primality appears as discrete uniqueness arising within a field whose deeper origin is not ordinary emptiness but directional equilibrium.</w:t>
      </w:r>
    </w:p>
    <w:p>
      <w:pPr>
        <w:pStyle w:val="SectionHead"/>
      </w:pPr>
      <w:r>
        <w:t>8. Scope, limitations, and research value</w:t>
      </w:r>
    </w:p>
    <w:p>
      <w:pPr/>
      <w:r>
        <w:t>A disciplined account of the framework must state clearly what has and has not been established.</w:t>
      </w:r>
    </w:p>
    <w:tbl>
      <w:tblPr>
        <w:tblStyle w:val="TableGrid"/>
        <w:tblW w:type="auto" w:w="0"/>
        <w:tblLayout w:type="autofit"/>
        <w:tblLook w:firstColumn="1" w:firstRow="1" w:lastColumn="0" w:lastRow="0" w:noHBand="0" w:noVBand="1" w:val="04A0"/>
      </w:tblPr>
      <w:tblGrid>
        <w:gridCol w:w="4824"/>
        <w:gridCol w:w="4824"/>
      </w:tblGrid>
      <w:tr>
        <w:tc>
          <w:tcPr>
            <w:tcW w:type="dxa" w:w="4824"/>
          </w:tcPr>
          <w:p>
            <w:r>
              <w:t>Supported within the paper</w:t>
            </w:r>
          </w:p>
        </w:tc>
        <w:tc>
          <w:tcPr>
            <w:tcW w:type="dxa" w:w="4824"/>
          </w:tcPr>
          <w:p>
            <w:r>
              <w:t>Not established by the paper</w:t>
            </w:r>
          </w:p>
        </w:tc>
      </w:tr>
      <w:tr>
        <w:tc>
          <w:tcPr>
            <w:tcW w:type="dxa" w:w="4824"/>
          </w:tcPr>
          <w:p>
            <w:r>
              <w:t>Standard identities such as tan(θ)=sin(θ)/cos(θ), d/dx tan(x)=sec²(x), and the ceiling/floor definitions of π_u and π_l.</w:t>
            </w:r>
          </w:p>
        </w:tc>
        <w:tc>
          <w:tcPr>
            <w:tcW w:type="dxa" w:w="4824"/>
          </w:tcPr>
          <w:p>
            <w:r>
              <w:t>Any proof that e itself is intrinsically oscillatory.</w:t>
            </w:r>
          </w:p>
        </w:tc>
      </w:tr>
      <w:tr>
        <w:tc>
          <w:tcPr>
            <w:tcW w:type="dxa" w:w="4824"/>
          </w:tcPr>
          <w:p>
            <w:r>
              <w:t>The generalized equations are deterministic multiscale oscillatory maps that can be plotted and sonified.</w:t>
            </w:r>
          </w:p>
        </w:tc>
        <w:tc>
          <w:tcPr>
            <w:tcW w:type="dxa" w:w="4824"/>
          </w:tcPr>
          <w:p>
            <w:r>
              <w:t>Any proof that conceptual rounding of π uncovers a new physical law.</w:t>
            </w:r>
          </w:p>
        </w:tc>
      </w:tr>
      <w:tr>
        <w:tc>
          <w:tcPr>
            <w:tcW w:type="dxa" w:w="4824"/>
          </w:tcPr>
          <w:p>
            <w:r>
              <w:t>The framework offers a coherent language linking zero, error, resonance, and bounded normalization.</w:t>
            </w:r>
          </w:p>
        </w:tc>
        <w:tc>
          <w:tcPr>
            <w:tcW w:type="dxa" w:w="4824"/>
          </w:tcPr>
          <w:p>
            <w:r>
              <w:t>Any theorem in number theory derived from the symbolic reading of primes, 1, and zero.</w:t>
            </w:r>
          </w:p>
        </w:tc>
      </w:tr>
      <w:tr>
        <w:tc>
          <w:tcPr>
            <w:tcW w:type="dxa" w:w="4824"/>
          </w:tcPr>
          <w:p>
            <w:r>
              <w:t>Computational instruments can reveal repeatable qualitative signatures under parameter variation.</w:t>
            </w:r>
          </w:p>
        </w:tc>
        <w:tc>
          <w:tcPr>
            <w:tcW w:type="dxa" w:w="4824"/>
          </w:tcPr>
          <w:p>
            <w:r>
              <w:t>Any claim that those signatures are unique to one metaphysical interpretation.</w:t>
            </w:r>
          </w:p>
        </w:tc>
      </w:tr>
    </w:tbl>
    <w:p>
      <w:pPr/>
      <w:r>
        <w:t>The main research value of the framework lies in three places: first, as an integrative language for discussing emergence and bounded imbalance; second, as a computational instrument for probing multiscale resonance; and third, as a generator of disciplined conjectures that can later be tested more formally.</w:t>
      </w:r>
    </w:p>
    <w:p>
      <w:pPr>
        <w:pStyle w:val="SectionHead"/>
      </w:pPr>
      <w:r>
        <w:t>9. Conclusion</w:t>
      </w:r>
    </w:p>
    <w:p>
      <w:pPr/>
      <w:r>
        <w:t>The paper has organized a day of wide-ranging discussion into a single exploratory structure. At its center is the claim that zero can be viewed as dynamic equilibrium and that error, rather than merely degrading order, can initiate propagation. Unity becomes a balance target, tolerance becomes bounded deviation, trigonometric ratios become directional descriptors, and resonance equations become probes through which growth-like and phase-like constants can be tested.</w:t>
      </w:r>
    </w:p>
    <w:p>
      <w:pPr/>
      <w:r>
        <w:t>The resulting framework is neither orthodox mathematics nor free-form metaphor. It is best understood as a conceptual research scaffold: precise enough to compute with, flexible enough to generate hypotheses, and cautious enough to distinguish observation from proof.</w:t>
      </w:r>
    </w:p>
    <w:p>
      <w:pPr/>
      <w:r>
        <w:t>Its most durable insight may be the simplest: without error, zero remains balanced; with error, zero propagates.</w:t>
      </w:r>
    </w:p>
    <w:p>
      <w:pPr>
        <w:pStyle w:val="SectionHead"/>
      </w:pPr>
      <w:r>
        <w:t>Appendix A. Notation</w:t>
      </w:r>
    </w:p>
    <w:tbl>
      <w:tblPr>
        <w:tblStyle w:val="LightGrid-Accent1"/>
        <w:tblW w:type="auto" w:w="0"/>
        <w:tblLook w:firstColumn="1" w:firstRow="1" w:lastColumn="0" w:lastRow="0" w:noHBand="0" w:noVBand="1" w:val="04A0"/>
      </w:tblPr>
      <w:tblGrid>
        <w:gridCol w:w="4824"/>
        <w:gridCol w:w="4824"/>
      </w:tblGrid>
      <w:tr>
        <w:tc>
          <w:tcPr>
            <w:tcW w:type="dxa" w:w="4824"/>
          </w:tcPr>
          <w:p>
            <w:r>
              <w:t>Symbol</w:t>
            </w:r>
          </w:p>
        </w:tc>
        <w:tc>
          <w:tcPr>
            <w:tcW w:type="dxa" w:w="4824"/>
          </w:tcPr>
          <w:p>
            <w:r>
              <w:t>Meaning</w:t>
            </w:r>
          </w:p>
        </w:tc>
      </w:tr>
      <w:tr>
        <w:tc>
          <w:tcPr>
            <w:tcW w:type="dxa" w:w="4824"/>
          </w:tcPr>
          <w:p>
            <w:r>
              <w:t>0_b</w:t>
            </w:r>
          </w:p>
        </w:tc>
        <w:tc>
          <w:tcPr>
            <w:tcW w:type="dxa" w:w="4824"/>
          </w:tcPr>
          <w:p>
            <w:r>
              <w:t>balanced zero</w:t>
            </w:r>
          </w:p>
        </w:tc>
      </w:tr>
      <w:tr>
        <w:tc>
          <w:tcPr>
            <w:tcW w:type="dxa" w:w="4824"/>
          </w:tcPr>
          <w:p>
            <w:r>
              <w:t>0_f</w:t>
            </w:r>
          </w:p>
        </w:tc>
        <w:tc>
          <w:tcPr>
            <w:tcW w:type="dxa" w:w="4824"/>
          </w:tcPr>
          <w:p>
            <w:r>
              <w:t>forward-propagating zero</w:t>
            </w:r>
          </w:p>
        </w:tc>
      </w:tr>
      <w:tr>
        <w:tc>
          <w:tcPr>
            <w:tcW w:type="dxa" w:w="4824"/>
          </w:tcPr>
          <w:p>
            <w:r>
              <w:t>K_u</w:t>
            </w:r>
          </w:p>
        </w:tc>
        <w:tc>
          <w:tcPr>
            <w:tcW w:type="dxa" w:w="4824"/>
          </w:tcPr>
          <w:p>
            <w:r>
              <w:t>unity balance constant, equal to 1</w:t>
            </w:r>
          </w:p>
        </w:tc>
      </w:tr>
      <w:tr>
        <w:tc>
          <w:tcPr>
            <w:tcW w:type="dxa" w:w="4824"/>
          </w:tcPr>
          <w:p>
            <w:r>
              <w:t>K_t</w:t>
            </w:r>
          </w:p>
        </w:tc>
        <w:tc>
          <w:tcPr>
            <w:tcW w:type="dxa" w:w="4824"/>
          </w:tcPr>
          <w:p>
            <w:r>
              <w:t>tolerance constant, equal to e/π²</w:t>
            </w:r>
          </w:p>
        </w:tc>
      </w:tr>
      <w:tr>
        <w:tc>
          <w:tcPr>
            <w:tcW w:type="dxa" w:w="4824"/>
          </w:tcPr>
          <w:p>
            <w:r>
              <w:t>err_r, err_s, err_str</w:t>
            </w:r>
          </w:p>
        </w:tc>
        <w:tc>
          <w:tcPr>
            <w:tcW w:type="dxa" w:w="4824"/>
          </w:tcPr>
          <w:p>
            <w:r>
              <w:t>random, systematic, and structural error</w:t>
            </w:r>
          </w:p>
        </w:tc>
      </w:tr>
      <w:tr>
        <w:tc>
          <w:tcPr>
            <w:tcW w:type="dxa" w:w="4824"/>
          </w:tcPr>
          <w:p>
            <w:r>
              <w:t>e_p</w:t>
            </w:r>
          </w:p>
        </w:tc>
        <w:tc>
          <w:tcPr>
            <w:tcW w:type="dxa" w:w="4824"/>
          </w:tcPr>
          <w:p>
            <w:r>
              <w:t>probed form of e</w:t>
            </w:r>
          </w:p>
        </w:tc>
      </w:tr>
      <w:tr>
        <w:tc>
          <w:tcPr>
            <w:tcW w:type="dxa" w:w="4824"/>
          </w:tcPr>
          <w:p>
            <w:r>
              <w:t>π_u, π_l</w:t>
            </w:r>
          </w:p>
        </w:tc>
        <w:tc>
          <w:tcPr>
            <w:tcW w:type="dxa" w:w="4824"/>
          </w:tcPr>
          <w:p>
            <w:r>
              <w:t>upper and lower decimal-envelope forms of π</w:t>
            </w:r>
          </w:p>
        </w:tc>
      </w:tr>
      <w:tr>
        <w:tc>
          <w:tcPr>
            <w:tcW w:type="dxa" w:w="4824"/>
          </w:tcPr>
          <w:p>
            <w:r>
              <w:t>ε</w:t>
            </w:r>
          </w:p>
        </w:tc>
        <w:tc>
          <w:tcPr>
            <w:tcW w:type="dxa" w:w="4824"/>
          </w:tcPr>
          <w:p>
            <w:r>
              <w:t>stabilizing or regularizing tolerance term</w:t>
            </w:r>
          </w:p>
        </w:tc>
      </w:tr>
      <w:tr>
        <w:tc>
          <w:tcPr>
            <w:tcW w:type="dxa" w:w="4824"/>
          </w:tcPr>
          <w:p>
            <w:r>
              <w:t>n₁, n₂, n₃</w:t>
            </w:r>
          </w:p>
        </w:tc>
        <w:tc>
          <w:tcPr>
            <w:tcW w:type="dxa" w:w="4824"/>
          </w:tcPr>
          <w:p>
            <w:r>
              <w:t>independent resonance roles for phase and scaling</w:t>
            </w:r>
          </w:p>
        </w:tc>
      </w:tr>
    </w:tbl>
    <w:p>
      <w:pPr>
        <w:pStyle w:val="SubsectionHead"/>
      </w:pPr>
      <w:r>
        <w:t>Author's note</w:t>
      </w:r>
    </w:p>
    <w:p>
      <w:pPr>
        <w:pStyle w:val="SmallNote"/>
      </w:pPr>
      <w:r>
        <w:t>This document intentionally preserves the speculative spirit of the original discussion while giving it a clearer scientific structure. Where the underlying claims are conceptual rather than demonstrated, the text says so directly.</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perTitle">
    <w:name w:val="Paper Title"/>
    <w:basedOn w:val="Normal"/>
    <w:pPr>
      <w:spacing w:after="160"/>
    </w:pPr>
    <w:rPr>
      <w:rFonts w:ascii="Aptos Display" w:hAnsi="Aptos Display" w:eastAsia="Aptos Display"/>
      <w:b/>
      <w:sz w:val="44"/>
    </w:rPr>
  </w:style>
  <w:style w:type="paragraph" w:customStyle="1" w:styleId="PaperSubtitle">
    <w:name w:val="Paper Subtitle"/>
    <w:basedOn w:val="Normal"/>
    <w:pPr>
      <w:spacing w:after="360"/>
    </w:pPr>
    <w:rPr>
      <w:i/>
      <w:color w:val="4D5866"/>
      <w:sz w:val="22"/>
    </w:rPr>
  </w:style>
  <w:style w:type="paragraph" w:customStyle="1" w:styleId="SectionHead">
    <w:name w:val="Section Head"/>
    <w:basedOn w:val="Normal"/>
    <w:pPr>
      <w:keepNext/>
      <w:spacing w:before="280" w:after="100"/>
    </w:pPr>
    <w:rPr>
      <w:b/>
      <w:color w:val="14345C"/>
      <w:sz w:val="28"/>
    </w:rPr>
  </w:style>
  <w:style w:type="paragraph" w:customStyle="1" w:styleId="SubsectionHead">
    <w:name w:val="Subsection Head"/>
    <w:basedOn w:val="Normal"/>
    <w:pPr>
      <w:keepNext/>
      <w:spacing w:before="200" w:after="60"/>
    </w:pPr>
    <w:rPr>
      <w:b/>
      <w:color w:val="2C4878"/>
      <w:sz w:val="23"/>
    </w:rPr>
  </w:style>
  <w:style w:type="paragraph" w:customStyle="1" w:styleId="Equation">
    <w:name w:val="Equation"/>
    <w:basedOn w:val="Normal"/>
    <w:pPr>
      <w:spacing w:before="40" w:after="40"/>
      <w:ind w:left="504"/>
    </w:pPr>
    <w:rPr>
      <w:rFonts w:ascii="Cambria Math" w:hAnsi="Cambria Math" w:eastAsia="Cambria Math"/>
      <w:sz w:val="22"/>
    </w:rPr>
  </w:style>
  <w:style w:type="paragraph" w:customStyle="1" w:styleId="SmallNote">
    <w:name w:val="Small Note"/>
    <w:basedOn w:val="Normal"/>
    <w:pPr>
      <w:spacing w:after="120"/>
    </w:pPr>
    <w:rPr>
      <w:i/>
      <w:color w:val="58585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