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before="80" w:after="80" w:line="240" w:lineRule="auto"/>
        <w:jc w:val="center"/>
      </w:pPr>
      <w:r>
        <w:t>Rounded-π Probe Pairs and Perturbational Neutrality</w:t>
      </w:r>
    </w:p>
    <w:p>
      <w:pPr>
        <w:pStyle w:val="Subtitle"/>
        <w:spacing w:before="0" w:after="240" w:line="264" w:lineRule="auto"/>
        <w:jc w:val="center"/>
      </w:pPr>
      <w:r>
        <w:t>An exploratory mathematical note based on recent development history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48"/>
        <w:gridCol w:w="6768"/>
      </w:tblGrid>
      <w:tr>
        <w:tc>
          <w:tcPr>
            <w:tcW w:type="dxa" w:w="48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AF2FB"/>
          </w:tcPr>
          <w:p>
            <w:pPr>
              <w:spacing w:before="0" w:after="0" w:line="252" w:lineRule="auto"/>
            </w:pPr>
            <w:r>
              <w:rPr>
                <w:b/>
              </w:rPr>
              <w:t>Prepared for</w:t>
            </w:r>
          </w:p>
        </w:tc>
        <w:tc>
          <w:tcPr>
            <w:tcW w:type="dxa" w:w="48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t>Project working notes</w:t>
            </w:r>
          </w:p>
        </w:tc>
      </w:tr>
      <w:tr>
        <w:tc>
          <w:tcPr>
            <w:tcW w:type="dxa" w:w="48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  <w:shd w:fill="EAF2FB"/>
          </w:tcPr>
          <w:p>
            <w:pPr>
              <w:spacing w:before="0" w:after="0" w:line="252" w:lineRule="auto"/>
            </w:pPr>
            <w:r>
              <w:rPr>
                <w:b/>
              </w:rPr>
              <w:t>Scope</w:t>
            </w:r>
          </w:p>
        </w:tc>
        <w:tc>
          <w:tcPr>
            <w:tcW w:type="dxa" w:w="4824"/>
            <w:tcMar>
              <w:top w:w="120" w:type="dxa"/>
              <w:start w:w="120" w:type="dxa"/>
              <w:bottom w:w="12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t>Definitions, edge cases, decimal-bracket analysis, and symbolic interpretation</w:t>
            </w:r>
          </w:p>
        </w:tc>
      </w:tr>
    </w:tbl>
    <w:p/>
    <w:p>
      <w:pPr>
        <w:spacing w:before="160" w:after="80" w:line="276" w:lineRule="auto"/>
      </w:pPr>
      <w:r>
        <w:rPr>
          <w:b/>
          <w:color w:val="1D4E89"/>
          <w:sz w:val="24"/>
        </w:rPr>
        <w:t>Abstract</w:t>
      </w:r>
    </w:p>
    <w:p>
      <w:pPr>
        <w:spacing w:before="0" w:after="120" w:line="276" w:lineRule="auto"/>
      </w:pPr>
      <w:r>
        <w:t>This note organizes a recent chain of ideas around rounded decimal probes of π, a perturbed trigonometric ratio family, and a proposed notion of perturbational neutrality. The lower and upper decimal probes π_m^- and π_m^+ are defined as a narrowing bracket around π, and several elementary results are recorded: bracket width, convergence, the criterion for deciding whether π is closer to the lower or upper probe, the first upper-lean event at m = 3, and later fine-scale upper propagation at m = 6 and m = 7. The ratio family N_(n,σ) is then rewritten in a cleaner sign-branch form, and the edge cases n = 1 and n = 0 are interpreted as a reduced harmonic regime and a singular oscillatory boundary respectively. A final section distinguishes literal arithmetic from a symbolic reading in which a lower/upper pair behaves as a two-part bracket rather than a standard binary counter.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  <w:shd w:fill="F7F9FC"/>
            <w:tcMar>
              <w:top w:w="140" w:type="dxa"/>
              <w:start w:w="140" w:type="dxa"/>
              <w:bottom w:w="140" w:type="dxa"/>
              <w:end w:w="140" w:type="dxa"/>
            </w:tcMar>
          </w:tcPr>
          <w:p>
            <w:pPr>
              <w:spacing w:before="0" w:after="0" w:line="259" w:lineRule="auto"/>
            </w:pPr>
            <w:r>
              <w:t>Note on tone. This is written as an exploratory scientific document. Proven claims in the note are elementary consequences of the definitions; interpretive terms such as balance, forward propagation, and symbolic decomposition are stated explicitly as proposed terminology.</w:t>
            </w:r>
          </w:p>
        </w:tc>
      </w:tr>
    </w:tbl>
    <w:p/>
    <w:p>
      <w:pPr>
        <w:pStyle w:val="Heading1"/>
        <w:spacing w:before="0" w:after="120" w:line="276" w:lineRule="auto"/>
      </w:pPr>
      <w:r>
        <w:t>1. Decimal probe pairs for π</w:t>
      </w:r>
    </w:p>
    <w:p>
      <w:pPr>
        <w:spacing w:before="0" w:after="120" w:line="276" w:lineRule="auto"/>
      </w:pPr>
      <w:r>
        <w:t>Define the lower and upper decimal probes of π at precision m by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π_m^- = floor(10^m π) / 10^m,    π_m^+ = ceil(10^m π) / 10^m.</w:t>
      </w:r>
    </w:p>
    <w:p>
      <w:pPr>
        <w:spacing w:before="0" w:after="120" w:line="276" w:lineRule="auto"/>
      </w:pPr>
      <w:r>
        <w:t>For irrational π, these probes satisfy π_m^- &lt; π &lt; π_m^+ for every finite m. They may therefore be viewed as an ordered probe pair that approaches π from below and above.</w:t>
      </w:r>
    </w:p>
    <w:p>
      <w:pPr>
        <w:spacing w:before="0" w:after="120" w:line="276" w:lineRule="auto"/>
      </w:pPr>
      <w:r>
        <w:t>Examples.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m = 0:   π_0^- = 3,      π_0^+ = 4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m = 1:   π_1^- = 3.1,    π_1^+ = 3.2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m = 2:   π_2^- = 3.14,   π_2^+ = 3.15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m = 3:   π_3^- = 3.141,  π_3^+ = 3.142</w:t>
      </w:r>
    </w:p>
    <w:p>
      <w:pPr>
        <w:spacing w:before="0" w:after="120" w:line="276" w:lineRule="auto"/>
      </w:pPr>
      <w:r>
        <w:rPr>
          <w:b/>
        </w:rPr>
        <w:t xml:space="preserve">Proposition 1. </w:t>
      </w:r>
      <w:r/>
    </w:p>
    <w:p>
      <w:pPr>
        <w:spacing w:before="0" w:after="120" w:line="276" w:lineRule="auto"/>
      </w:pPr>
      <w:r>
        <w:t>The bracket width is exactly 10^-m: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π_m^+ - π_m^- = 10^-m.</w:t>
      </w:r>
    </w:p>
    <w:p>
      <w:pPr>
        <w:spacing w:before="0" w:after="120" w:line="276" w:lineRule="auto"/>
      </w:pPr>
      <w:r>
        <w:t>Proof sketch. Since ceil(10^m π) = floor(10^m π) + 1 for irrational π, division by 10^m gives the result.</w:t>
      </w:r>
    </w:p>
    <w:p>
      <w:pPr>
        <w:spacing w:before="0" w:after="120" w:line="276" w:lineRule="auto"/>
      </w:pPr>
      <w:r>
        <w:rPr>
          <w:b/>
        </w:rPr>
        <w:t xml:space="preserve">Proposition 2. </w:t>
      </w:r>
      <w:r/>
    </w:p>
    <w:p>
      <w:pPr>
        <w:spacing w:before="0" w:after="120" w:line="276" w:lineRule="auto"/>
      </w:pPr>
      <w:r>
        <w:t>Both probe sequences converge to π as m tends to infinity.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π_m^- → π,    π_m^+ → π    as m → ∞.</w:t>
      </w:r>
    </w:p>
    <w:p>
      <w:pPr>
        <w:spacing w:before="0" w:after="120" w:line="276" w:lineRule="auto"/>
      </w:pPr>
      <w:r>
        <w:t>This makes the pair useful as a finite-resolution bracket whose width is known exactly at every stage.</w:t>
      </w:r>
    </w:p>
    <w:p>
      <w:pPr>
        <w:spacing w:before="0" w:after="120" w:line="276" w:lineRule="auto"/>
      </w:pPr>
      <w:r>
        <w:t>Figure 1 shows the bracket pair converging toward π as m increases.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probe_convergenc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 w:line="240" w:lineRule="auto"/>
        <w:jc w:val="center"/>
      </w:pPr>
      <w:r>
        <w:rPr>
          <w:b/>
        </w:rPr>
        <w:t xml:space="preserve">Figure 1. </w:t>
      </w:r>
      <w:r>
        <w:t>Lower and upper decimal probes converging to π.</w:t>
      </w:r>
    </w:p>
    <w:p>
      <w:pPr>
        <w:pStyle w:val="Heading1"/>
        <w:spacing w:before="0" w:after="120" w:line="276" w:lineRule="auto"/>
      </w:pPr>
      <w:r>
        <w:t>2. Leaning, near-balance, and forward propagation</w:t>
      </w:r>
    </w:p>
    <w:p>
      <w:pPr>
        <w:spacing w:before="0" w:after="120" w:line="276" w:lineRule="auto"/>
      </w:pPr>
      <w:r>
        <w:t>Define the lower and upper probe distances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d_m^- = π - π_m^-,    d_m^+ = π_m^+ - π.</w:t>
      </w:r>
    </w:p>
    <w:p>
      <w:pPr>
        <w:spacing w:before="0" w:after="120" w:line="276" w:lineRule="auto"/>
      </w:pPr>
      <w:r>
        <w:t>Then d_m^- + d_m^+ = 10^-m. Exact finite balance would require d_m^- = d_m^+, but this cannot happen for irrational π. Accordingly, balance is best treated as a near-balance notion rather than an exact equality.</w:t>
      </w:r>
    </w:p>
    <w:p>
      <w:pPr>
        <w:spacing w:before="0" w:after="120" w:line="276" w:lineRule="auto"/>
      </w:pPr>
      <w:r>
        <w:t>A convenient signed leaning quantity is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L_m = d_m^+ - d_m^-.</w:t>
      </w:r>
    </w:p>
    <w:p>
      <w:pPr>
        <w:spacing w:before="0" w:after="120" w:line="276" w:lineRule="auto"/>
      </w:pPr>
      <w:r>
        <w:t>If L_m &gt; 0, π is closer to the lower probe; if L_m &lt; 0, π is closer to the upper probe. The first upper-lean event is the first m for which L_m &lt; 0.</w:t>
      </w:r>
    </w:p>
    <w:p>
      <w:pPr>
        <w:spacing w:before="0" w:after="120" w:line="276" w:lineRule="auto"/>
      </w:pPr>
      <w:r>
        <w:rPr>
          <w:b/>
        </w:rPr>
        <w:t xml:space="preserve">Proposition 3. </w:t>
      </w:r>
      <w:r/>
    </w:p>
    <w:p>
      <w:pPr>
        <w:spacing w:before="0" w:after="120" w:line="276" w:lineRule="auto"/>
      </w:pPr>
      <w:r>
        <w:t>The first upper-lean event occurs at m = 3.</w:t>
      </w:r>
    </w:p>
    <w:p>
      <w:pPr>
        <w:spacing w:before="0" w:after="120" w:line="276" w:lineRule="auto"/>
      </w:pPr>
      <w:r>
        <w:t>Reason. The fractional parts of 10^m π for m = 0, 1, 2 are 0.141..., 0.415..., and 0.159..., all below one half, whereas the fractional part of 1000π is 0.592..., above one half.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π_3^- = 3.141,    π_3^+ = 3.142,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π - π_3^- ≈ 0.000592653...,    π_3^+ - π ≈ 0.000407346....</w:t>
      </w:r>
    </w:p>
    <w:p>
      <w:pPr>
        <w:spacing w:before="0" w:after="120" w:line="276" w:lineRule="auto"/>
      </w:pPr>
      <w:r>
        <w:t>A near-balance magnitude can be defined by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Δ_m = |d_m^- - d_m^+| = |L_m|.</w:t>
      </w:r>
    </w:p>
    <w:p>
      <w:pPr>
        <w:spacing w:before="0" w:after="120" w:line="276" w:lineRule="auto"/>
      </w:pPr>
      <w:r>
        <w:t>Smaller Δ_m means closer to halfway within the bracket. This is useful because exact balance never occurs, yet different precisions can still be compared.</w:t>
      </w:r>
    </w:p>
    <w:p>
      <w:pPr>
        <w:spacing w:before="0" w:after="120" w:line="276" w:lineRule="auto"/>
      </w:pPr>
      <w:r>
        <w:t>Using this language, m = 6 is naturally described as a fine-scale upper turn, while m = 7 is both an upper confirmation and a more balanced bracket than m = 6.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Δ_6 ≈ 3.0718 × 10^-7,    Δ_7 ≈ 7.1796 × 10^-9.</w:t>
      </w:r>
    </w:p>
    <w:p>
      <w:pPr>
        <w:spacing w:before="0" w:after="120" w:line="276" w:lineRule="auto"/>
      </w:pPr>
      <w:r>
        <w:t>One possible operational definition is the following: an upper propagation event begins at m when π is closer to π_m^+ and remains closer to π_(m+1)^+ at the next precision. Under this definition, an early propagated upper event occurs at m = 3, while the later fine-scale propagated upper event occurs at m = 6 and is confirmed at m = 7.</w:t>
      </w:r>
    </w:p>
    <w:p>
      <w:pPr>
        <w:spacing w:before="0" w:after="120" w:line="276" w:lineRule="auto"/>
      </w:pPr>
      <w:r>
        <w:t>Table 1 records the first eleven probe levels.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92"/>
        <w:gridCol w:w="1656"/>
        <w:gridCol w:w="1656"/>
        <w:gridCol w:w="1512"/>
        <w:gridCol w:w="1512"/>
        <w:gridCol w:w="1440"/>
      </w:tblGrid>
      <w:tr>
        <w:tc>
          <w:tcPr>
            <w:tcW w:type="dxa" w:w="1608"/>
            <w:shd w:fill="DCE6F2"/>
            <w:vAlign w:val="center"/>
            <w:tcMar>
              <w:top w:w="110" w:type="dxa"/>
              <w:start w:w="90" w:type="dxa"/>
              <w:bottom w:w="11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>m</w:t>
            </w:r>
          </w:p>
        </w:tc>
        <w:tc>
          <w:tcPr>
            <w:tcW w:type="dxa" w:w="1608"/>
            <w:shd w:fill="DCE6F2"/>
            <w:vAlign w:val="center"/>
            <w:tcMar>
              <w:top w:w="110" w:type="dxa"/>
              <w:start w:w="90" w:type="dxa"/>
              <w:bottom w:w="11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>π_m^-</w:t>
            </w:r>
          </w:p>
        </w:tc>
        <w:tc>
          <w:tcPr>
            <w:tcW w:type="dxa" w:w="1608"/>
            <w:shd w:fill="DCE6F2"/>
            <w:vAlign w:val="center"/>
            <w:tcMar>
              <w:top w:w="110" w:type="dxa"/>
              <w:start w:w="90" w:type="dxa"/>
              <w:bottom w:w="11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>π_m^+</w:t>
            </w:r>
          </w:p>
        </w:tc>
        <w:tc>
          <w:tcPr>
            <w:tcW w:type="dxa" w:w="1608"/>
            <w:shd w:fill="DCE6F2"/>
            <w:vAlign w:val="center"/>
            <w:tcMar>
              <w:top w:w="110" w:type="dxa"/>
              <w:start w:w="90" w:type="dxa"/>
              <w:bottom w:w="11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>d_m^-</w:t>
            </w:r>
          </w:p>
        </w:tc>
        <w:tc>
          <w:tcPr>
            <w:tcW w:type="dxa" w:w="1608"/>
            <w:shd w:fill="DCE6F2"/>
            <w:vAlign w:val="center"/>
            <w:tcMar>
              <w:top w:w="110" w:type="dxa"/>
              <w:start w:w="90" w:type="dxa"/>
              <w:bottom w:w="11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>d_m^+</w:t>
            </w:r>
          </w:p>
        </w:tc>
        <w:tc>
          <w:tcPr>
            <w:tcW w:type="dxa" w:w="1608"/>
            <w:shd w:fill="DCE6F2"/>
            <w:vAlign w:val="center"/>
            <w:tcMar>
              <w:top w:w="110" w:type="dxa"/>
              <w:start w:w="90" w:type="dxa"/>
              <w:bottom w:w="110" w:type="dxa"/>
              <w:end w:w="9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  <w:t>Closer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4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0.142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0.858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t>lower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1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3.2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0.0416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0.0584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t>lower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2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3.15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0.00159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0.00841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t>lower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3.142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0.000592654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0.000407346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>upper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4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3.1416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9.26536e-05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7.34641e-06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>upper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5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3.14160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2.65359e-06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7.34641e-06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t>lower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6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3.141593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6.5359e-07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3.4641e-07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>upper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7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3.1415926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3.1415927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5.35898e-08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4.64102e-08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>upper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8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3.14159265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3.14159266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3.58979e-09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6.41021e-09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t>lower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9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3.141592653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3.141592654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5.89793e-10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4.10207e-10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>upper</w:t>
            </w:r>
          </w:p>
        </w:tc>
      </w:tr>
      <w:tr>
        <w:tc>
          <w:tcPr>
            <w:tcW w:type="dxa" w:w="79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10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3.1415926535</w:t>
            </w:r>
          </w:p>
        </w:tc>
        <w:tc>
          <w:tcPr>
            <w:tcW w:type="dxa" w:w="1656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3.1415926536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8.97931e-11</w:t>
            </w:r>
          </w:p>
        </w:tc>
        <w:tc>
          <w:tcPr>
            <w:tcW w:type="dxa" w:w="1512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center"/>
            </w:pPr>
            <w:r>
              <w:t>1.02069e-11</w:t>
            </w:r>
          </w:p>
        </w:tc>
        <w:tc>
          <w:tcPr>
            <w:tcW w:type="dxa" w:w="1440"/>
            <w:tcMar>
              <w:top w:w="100" w:type="dxa"/>
              <w:start w:w="90" w:type="dxa"/>
              <w:bottom w:w="100" w:type="dxa"/>
              <w:end w:w="90" w:type="dxa"/>
            </w:tcMar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>upper</w:t>
            </w:r>
          </w:p>
        </w:tc>
      </w:tr>
    </w:tbl>
    <w:p>
      <w:pPr>
        <w:spacing w:before="40" w:after="200" w:line="240" w:lineRule="auto"/>
        <w:jc w:val="center"/>
      </w:pPr>
      <w:r>
        <w:rPr>
          <w:b/>
        </w:rPr>
        <w:t xml:space="preserve">Table 1. </w:t>
      </w:r>
      <w:r>
        <w:t>Probe values, distances, and leaning for m = 0 to 10.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ig_leaning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 w:line="240" w:lineRule="auto"/>
        <w:jc w:val="center"/>
      </w:pPr>
      <w:r>
        <w:rPr>
          <w:b/>
        </w:rPr>
        <w:t xml:space="preserve">Figure 2. </w:t>
      </w:r>
      <w:r>
        <w:t>Signed leaning L_m = d_m^+ - d_m^-; negative values indicate an upper lean.</w:t>
      </w:r>
    </w:p>
    <w:p>
      <w:pPr>
        <w:pStyle w:val="Heading1"/>
        <w:spacing w:before="0" w:after="120" w:line="276" w:lineRule="auto"/>
      </w:pPr>
      <w:r>
        <w:t>3. A perturbed trigonometric ratio family</w:t>
      </w:r>
    </w:p>
    <w:p>
      <w:pPr>
        <w:spacing w:before="0" w:after="120" w:line="276" w:lineRule="auto"/>
      </w:pPr>
      <w:r>
        <w:t>The central exploratory family considered in the recent development history is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N_n(x) = (sin(x^n) + ε_1) / (sin(x^(n-1)) + ε_2),    n ≥ 2.</w:t>
      </w:r>
    </w:p>
    <w:p>
      <w:pPr>
        <w:spacing w:before="0" w:after="120" w:line="276" w:lineRule="auto"/>
      </w:pPr>
      <w:r>
        <w:t>Without perturbation, the core ratio sin(x^n) / sin(x^(n-1)) is odd wherever it is defined. With nonzero ε_1 or ε_2, that exact parity is generally broken, suggesting the phrase perturbational neutrality for a function that departs from pure odd or even symmetry while still retaining a recognizable symmetric core as the perturbations tend to zero.</w:t>
      </w:r>
    </w:p>
    <w:p>
      <w:pPr>
        <w:spacing w:before="0" w:after="120" w:line="276" w:lineRule="auto"/>
      </w:pPr>
      <w:r>
        <w:t>A useful sign-branch form is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N_(n,σ)(x) = (sin(x^n) + ε_1) / (σ sin(x^(n-1)) + ε_2),    σ ∈ {+1, -1}.</w:t>
      </w:r>
    </w:p>
    <w:p>
      <w:pPr>
        <w:spacing w:before="0" w:after="120" w:line="276" w:lineRule="auto"/>
      </w:pPr>
      <w:r>
        <w:t>This notation subsumes the earlier expressions with factors (-1)^(2n) and (-1)^(2n+1), because for integer n those factors collapse to +1 and -1 respectively. The branch parameter σ therefore records denominator orientation directly, without redundant notation.</w:t>
      </w:r>
    </w:p>
    <w:p>
      <w:pPr>
        <w:spacing w:before="0" w:after="120" w:line="276" w:lineRule="auto"/>
      </w:pPr>
      <w:r>
        <w:t>Combining the branch parameter with the rounded-π probe pair gives the discrete probe family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N_(n,σ)^(±,m) = (sin((π_m^±)^n) + ε_1) / (σ sin((π_m^±)^(n-1)) + ε_2).</w:t>
      </w:r>
    </w:p>
    <w:p>
      <w:pPr>
        <w:spacing w:before="0" w:after="120" w:line="276" w:lineRule="auto"/>
      </w:pPr>
      <w:r>
        <w:t>This provides four immediate structural controls: precision m, lower/upper choice ±, order n, and branch orientation σ.</w:t>
      </w:r>
    </w:p>
    <w:p>
      <w:pPr>
        <w:pStyle w:val="Heading1"/>
        <w:spacing w:before="0" w:after="120" w:line="276" w:lineRule="auto"/>
      </w:pPr>
      <w:r>
        <w:t>4. Edge cases n = 1 and n = 0</w:t>
      </w:r>
    </w:p>
    <w:p>
      <w:pPr>
        <w:spacing w:before="0" w:after="120" w:line="276" w:lineRule="auto"/>
      </w:pPr>
      <w:r>
        <w:t>The boundary values n = 1 and n = 0 change the character of the family and therefore deserve separate interpretation.</w:t>
      </w:r>
    </w:p>
    <w:p>
      <w:pPr>
        <w:pStyle w:val="Heading2"/>
        <w:spacing w:before="0" w:after="120" w:line="276" w:lineRule="auto"/>
      </w:pPr>
      <w:r>
        <w:t>Case n = 1.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N_1(x) = (sin(x) + ε_1) / (sin(1) + ε_2),    x ≠ 0.</w:t>
      </w:r>
    </w:p>
    <w:p>
      <w:pPr>
        <w:spacing w:before="0" w:after="120" w:line="276" w:lineRule="auto"/>
      </w:pPr>
      <w:r>
        <w:t>Apart from the removable issue at x = 0 arising from x^0, the denominator becomes constant and the ratio collapses to a shifted and scaled sine wave. This is best described as a reduced harmonic regime: the two-level interaction between x^n and x^(n-1) disappears.</w:t>
      </w:r>
    </w:p>
    <w:p>
      <w:pPr>
        <w:pStyle w:val="Heading2"/>
        <w:spacing w:before="0" w:after="120" w:line="276" w:lineRule="auto"/>
      </w:pPr>
      <w:r>
        <w:t>Case n = 0.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N_0(x) = (sin(1) + ε_1) / (sin(1/x) + ε_2),    x ≠ 0.</w:t>
      </w:r>
    </w:p>
    <w:p>
      <w:pPr>
        <w:spacing w:before="0" w:after="120" w:line="276" w:lineRule="auto"/>
      </w:pPr>
      <w:r>
        <w:t>Here the numerator is essentially constant while the denominator oscillates infinitely rapidly as x tends to zero. The function typically has no limit at zero, and if |ε_2| ≤ 1 the denominator vanishes on infinitely many sequences approaching zero. This is therefore a singular oscillatory boundary rather than a mild continuation of the n ≥ 1 regime.</w:t>
      </w:r>
    </w:p>
    <w:p>
      <w:pPr>
        <w:spacing w:before="0" w:after="120" w:line="276" w:lineRule="auto"/>
      </w:pPr>
      <w:r>
        <w:t>A useful summary is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n ≥ 2: interactive ratio regime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n = 1: reduced harmonic regime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n = 0: singular oscillatory boundary</w:t>
      </w:r>
    </w:p>
    <w:p>
      <w:pPr>
        <w:pStyle w:val="Heading1"/>
        <w:spacing w:before="0" w:after="120" w:line="276" w:lineRule="auto"/>
      </w:pPr>
      <w:r>
        <w:t>5. Symbolic interpretation of lower and upper pairing</w:t>
      </w:r>
    </w:p>
    <w:p>
      <w:pPr>
        <w:spacing w:before="0" w:after="120" w:line="276" w:lineRule="auto"/>
      </w:pPr>
      <w:r>
        <w:t>The expression 2 = π^- + π^+ is not a literal arithmetic identity for the decimal probes defined above. Indeed, π_m^- + π_m^+ is always approximately 2π rather than 2. Nevertheless, the expression can still be meaningful as a symbolic statement if the plus sign is read as pairing or bracketing rather than numerical addition.</w:t>
      </w:r>
    </w:p>
    <w:p>
      <w:pPr>
        <w:spacing w:before="0" w:after="120" w:line="276" w:lineRule="auto"/>
      </w:pPr>
      <w:r>
        <w:t>Under that symbolic reading, a lower and an upper probe form a two-part decomposition around a central quantity: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π_m^- &lt; π &lt; π_m^+.</w:t>
      </w:r>
    </w:p>
    <w:p>
      <w:pPr>
        <w:spacing w:before="0" w:after="120" w:line="276" w:lineRule="auto"/>
      </w:pPr>
      <w:r>
        <w:t>The pair then behaves like a bracketing unit rather than a scalar sum. In this language, '2' can be interpreted as a structural two-partness: one lower slot and one upper slot. This is consistent with the preference that '2 = 1 + 1 only' in the symbolic theory, even though it differs from the usual machine interpretation in which a 2-bit register encodes four distinct states.</w:t>
      </w:r>
    </w:p>
    <w:p>
      <w:pPr>
        <w:spacing w:before="0" w:after="120" w:line="276" w:lineRule="auto"/>
      </w:pPr>
      <w:r>
        <w:t>For computational purposes, the usual binary interpretation remains useful. For symbolic purposes, however, the bracketing interpretation emphasizes duality, opposition, and enclosure rather than state count.</w:t>
      </w:r>
    </w:p>
    <w:p>
      <w:r>
        <w:br w:type="page"/>
      </w:r>
    </w:p>
    <w:p>
      <w:pPr>
        <w:pStyle w:val="Heading1"/>
        <w:spacing w:before="0" w:after="120" w:line="276" w:lineRule="auto"/>
      </w:pPr>
      <w:r>
        <w:t>6. Appendix: computational reach of m by register size</w:t>
      </w:r>
    </w:p>
    <w:p>
      <w:pPr>
        <w:spacing w:before="0" w:after="120" w:line="276" w:lineRule="auto"/>
      </w:pPr>
      <w:r>
        <w:t>If m is stored as a single unsigned b-bit integer in the standard computational sense, then the maximum directly representable value is</w:t>
      </w:r>
    </w:p>
    <w:p>
      <w:pPr>
        <w:spacing w:before="40" w:after="80" w:line="240" w:lineRule="auto"/>
        <w:jc w:val="center"/>
      </w:pPr>
      <w:r>
        <w:rPr>
          <w:rFonts w:ascii="Cambria" w:hAnsi="Cambria"/>
          <w:sz w:val="24"/>
        </w:rPr>
        <w:t>m_max = 2^b - 1.</w:t>
      </w:r>
    </w:p>
    <w:p>
      <w:pPr>
        <w:spacing w:before="0" w:after="120" w:line="276" w:lineRule="auto"/>
      </w:pPr>
      <w:r>
        <w:t>Table 2 lists the resulting upper bounds for common word sizes.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28"/>
        <w:gridCol w:w="6048"/>
      </w:tblGrid>
      <w:tr>
        <w:tc>
          <w:tcPr>
            <w:tcW w:type="dxa" w:w="4824"/>
            <w:shd w:fill="DCE6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</w:rPr>
              <w:t>Bit size</w:t>
            </w:r>
          </w:p>
        </w:tc>
        <w:tc>
          <w:tcPr>
            <w:tcW w:type="dxa" w:w="4824"/>
            <w:shd w:fill="DCE6F2"/>
            <w:tcMar>
              <w:top w:w="110" w:type="dxa"/>
              <w:start w:w="110" w:type="dxa"/>
              <w:bottom w:w="11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b/>
              </w:rPr>
              <w:t>Maximum unsigned m</w:t>
            </w:r>
          </w:p>
        </w:tc>
      </w:tr>
      <w:tr>
        <w:tc>
          <w:tcPr>
            <w:tcW w:type="dxa" w:w="172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t>4</w:t>
            </w:r>
          </w:p>
        </w:tc>
        <w:tc>
          <w:tcPr>
            <w:tcW w:type="dxa" w:w="604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t>15</w:t>
            </w:r>
          </w:p>
        </w:tc>
      </w:tr>
      <w:tr>
        <w:tc>
          <w:tcPr>
            <w:tcW w:type="dxa" w:w="172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t>8</w:t>
            </w:r>
          </w:p>
        </w:tc>
        <w:tc>
          <w:tcPr>
            <w:tcW w:type="dxa" w:w="604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t>255</w:t>
            </w:r>
          </w:p>
        </w:tc>
      </w:tr>
      <w:tr>
        <w:tc>
          <w:tcPr>
            <w:tcW w:type="dxa" w:w="172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t>16</w:t>
            </w:r>
          </w:p>
        </w:tc>
        <w:tc>
          <w:tcPr>
            <w:tcW w:type="dxa" w:w="604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t>65535</w:t>
            </w:r>
          </w:p>
        </w:tc>
      </w:tr>
      <w:tr>
        <w:tc>
          <w:tcPr>
            <w:tcW w:type="dxa" w:w="172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t>32</w:t>
            </w:r>
          </w:p>
        </w:tc>
        <w:tc>
          <w:tcPr>
            <w:tcW w:type="dxa" w:w="604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t>4294967295</w:t>
            </w:r>
          </w:p>
        </w:tc>
      </w:tr>
      <w:tr>
        <w:tc>
          <w:tcPr>
            <w:tcW w:type="dxa" w:w="172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t>64</w:t>
            </w:r>
          </w:p>
        </w:tc>
        <w:tc>
          <w:tcPr>
            <w:tcW w:type="dxa" w:w="604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t>18446744073709551615</w:t>
            </w:r>
          </w:p>
        </w:tc>
      </w:tr>
      <w:tr>
        <w:tc>
          <w:tcPr>
            <w:tcW w:type="dxa" w:w="172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t>128</w:t>
            </w:r>
          </w:p>
        </w:tc>
        <w:tc>
          <w:tcPr>
            <w:tcW w:type="dxa" w:w="604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t>340282366920938463463374607431768211455</w:t>
            </w:r>
          </w:p>
        </w:tc>
      </w:tr>
      <w:tr>
        <w:tc>
          <w:tcPr>
            <w:tcW w:type="dxa" w:w="172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t>256</w:t>
            </w:r>
          </w:p>
        </w:tc>
        <w:tc>
          <w:tcPr>
            <w:tcW w:type="dxa" w:w="604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spacing w:before="0" w:after="0" w:line="276" w:lineRule="auto"/>
              <w:jc w:val="left"/>
            </w:pPr>
            <w:r>
              <w:t>115792089237316195423570985008687907853269984665640564039457584007913129639935</w:t>
            </w:r>
          </w:p>
        </w:tc>
      </w:tr>
    </w:tbl>
    <w:p>
      <w:pPr>
        <w:spacing w:before="40" w:after="200" w:line="240" w:lineRule="auto"/>
        <w:jc w:val="center"/>
      </w:pPr>
      <w:r>
        <w:rPr>
          <w:b/>
        </w:rPr>
        <w:t xml:space="preserve">Table 2. </w:t>
      </w:r>
      <w:r>
        <w:t>Standard unsigned storage limits for m.</w:t>
      </w:r>
    </w:p>
    <w:p>
      <w:pPr>
        <w:pStyle w:val="Heading1"/>
        <w:spacing w:before="0" w:after="120" w:line="276" w:lineRule="auto"/>
      </w:pPr>
      <w:r>
        <w:t>Conclusion</w:t>
      </w:r>
    </w:p>
    <w:p>
      <w:pPr>
        <w:spacing w:before="0" w:after="120" w:line="276" w:lineRule="auto"/>
      </w:pPr>
      <w:r>
        <w:t>The rounded-π probe construction provides a crisp mathematical core for the recent equation thread: it supplies a lower/upper decimal bracket with exactly known width, a clean criterion for deciding probe leaning, and a natural language for discussing near-balance and propagation. Coupled with the perturbed ratio family N_(n,σ), it also produces a compact exploratory framework in which decimal precision, branch orientation, perturbation, and exponent order can all be varied explicitly. The note therefore serves as a stable write-up of the current development history while leaving room for future extensions, such as alternative constants, signed-power continuations in n, or computational experiments with probe trajectories.</w:t>
      </w:r>
    </w:p>
    <w:sectPr w:rsidR="00FC693F" w:rsidRPr="0006063C" w:rsidSect="00034616">
      <w:footerReference w:type="default" r:id="rId11"/>
      <w:pgSz w:w="12240" w:h="15840"/>
      <w:pgMar w:top="1152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646464"/>
        <w:sz w:val="18"/>
      </w:rPr>
      <w:t>Rounded-π Probe Pairs and Perturbational Neutrality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D4E8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363636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D4E89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555555"/>
      <w:spacing w:val="15"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