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</w:rPr>
        <w:t>Equation Review Matrix</w:t>
      </w:r>
    </w:p>
    <w:p>
      <w:pPr>
        <w:jc w:val="center"/>
      </w:pPr>
      <w:r>
        <w:rPr>
          <w:i/>
        </w:rPr>
        <w:t>Classification of the main equation families in the collated project archive</w:t>
      </w:r>
    </w:p>
    <w:p>
      <w:r>
        <w:rPr>
          <w:b/>
        </w:rPr>
        <w:t xml:space="preserve">Purpose. </w:t>
      </w:r>
      <w:r>
        <w:t xml:space="preserve">This review marks each major equation family as </w:t>
      </w:r>
      <w:r>
        <w:rPr>
          <w:b/>
          <w:color w:val="006633"/>
        </w:rPr>
        <w:t>Solid</w:t>
      </w:r>
      <w:r>
        <w:t xml:space="preserve">, </w:t>
      </w:r>
      <w:r>
        <w:rPr>
          <w:b/>
          <w:color w:val="B45F06"/>
        </w:rPr>
        <w:t>Needs assumptions</w:t>
      </w:r>
      <w:r>
        <w:t xml:space="preserve">, </w:t>
      </w:r>
      <w:r>
        <w:rPr>
          <w:b/>
          <w:color w:val="783C78"/>
        </w:rPr>
        <w:t>Symbolic / heuristic</w:t>
      </w:r>
      <w:r>
        <w:t>and explains why.</w:t>
      </w:r>
    </w:p>
    <w:p>
      <w:r>
        <w:t>Use this as an editorial layer over the master summary: strong mathematical cores stay central, promising families get tightened, and symbolic systems are labeled honestly rather than overstated.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880"/>
            <w:vAlign w:val="center"/>
            <w:shd w:fill="D9EAF7"/>
          </w:tcPr>
          <w:p>
            <w:pPr>
              <w:jc w:val="center"/>
            </w:pPr>
            <w:r>
              <w:rPr>
                <w:b/>
              </w:rPr>
              <w:t>Equation family</w:t>
            </w:r>
          </w:p>
        </w:tc>
        <w:tc>
          <w:tcPr>
            <w:tcW w:type="dxa" w:w="1584"/>
            <w:vAlign w:val="center"/>
            <w:shd w:fill="D9EAF7"/>
          </w:tcPr>
          <w:p>
            <w:pPr>
              <w:jc w:val="center"/>
            </w:pPr>
            <w:r>
              <w:rPr>
                <w:b/>
              </w:rPr>
              <w:t>Status</w:t>
            </w:r>
          </w:p>
        </w:tc>
        <w:tc>
          <w:tcPr>
            <w:tcW w:type="dxa" w:w="4032"/>
            <w:vAlign w:val="center"/>
            <w:shd w:fill="D9EAF7"/>
          </w:tcPr>
          <w:p>
            <w:pPr>
              <w:jc w:val="center"/>
            </w:pPr>
            <w:r>
              <w:rPr>
                <w:b/>
              </w:rPr>
              <w:t>Why it lands there</w:t>
            </w:r>
          </w:p>
        </w:tc>
        <w:tc>
          <w:tcPr>
            <w:tcW w:type="dxa" w:w="3312"/>
            <w:vAlign w:val="center"/>
            <w:shd w:fill="D9EAF7"/>
          </w:tcPr>
          <w:p>
            <w:pPr>
              <w:jc w:val="center"/>
            </w:pPr>
            <w:r>
              <w:rPr>
                <w:b/>
              </w:rPr>
              <w:t>Main fix or editorial note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t>Prime / binary / entropy / nearest-prime / probable-prime pipeline</w:t>
            </w:r>
          </w:p>
        </w:tc>
        <w:tc>
          <w:tcPr>
            <w:tcW w:type="dxa" w:w="1584"/>
            <w:shd w:fill="EAF4EA"/>
            <w:vAlign w:val="center"/>
          </w:tcPr>
          <w:p>
            <w:pPr>
              <w:jc w:val="center"/>
            </w:pPr>
            <w:r>
              <w:rPr>
                <w:b/>
                <w:color w:val="006633"/>
              </w:rPr>
              <w:t>Solid</w:t>
            </w:r>
          </w:p>
        </w:tc>
        <w:tc>
          <w:tcPr>
            <w:tcW w:type="dxa" w:w="4032"/>
            <w:vAlign w:val="center"/>
          </w:tcPr>
          <w:p>
            <w:pPr>
              <w:jc w:val="left"/>
            </w:pPr>
            <w:r>
              <w:t>Definitions and algorithms are standard or standard-adjacent. Binary-to-decimal conversion, Shannon entropy, local entropy windows, and nearest-prime distance are all clean. Miller–Rabin is also a legitimate probable-prime method when labeled correctly.</w:t>
            </w:r>
          </w:p>
        </w:tc>
        <w:tc>
          <w:tcPr>
            <w:tcW w:type="dxa" w:w="3312"/>
            <w:vAlign w:val="center"/>
          </w:tcPr>
          <w:p>
            <w:pPr>
              <w:jc w:val="left"/>
            </w:pPr>
            <w:r>
              <w:t>Keep this family as a computational backbone. Distinguish clearly between probable prime and proved prime.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t>Binary-to-sound and prime-proximity harmony mappings</w:t>
            </w:r>
          </w:p>
        </w:tc>
        <w:tc>
          <w:tcPr>
            <w:tcW w:type="dxa" w:w="1584"/>
            <w:shd w:fill="EAF4EA"/>
            <w:vAlign w:val="center"/>
          </w:tcPr>
          <w:p>
            <w:pPr>
              <w:jc w:val="center"/>
            </w:pPr>
            <w:r>
              <w:rPr>
                <w:b/>
                <w:color w:val="006633"/>
              </w:rPr>
              <w:t>Solid</w:t>
            </w:r>
          </w:p>
        </w:tc>
        <w:tc>
          <w:tcPr>
            <w:tcW w:type="dxa" w:w="4032"/>
            <w:vAlign w:val="center"/>
          </w:tcPr>
          <w:p>
            <w:pPr>
              <w:jc w:val="left"/>
            </w:pPr>
            <w:r>
              <w:t>These are clean design equations once treated as instrument definitions rather than claims about number theory. The mappings are explicit and usable.</w:t>
            </w:r>
          </w:p>
        </w:tc>
        <w:tc>
          <w:tcPr>
            <w:tcW w:type="dxa" w:w="3312"/>
            <w:vAlign w:val="center"/>
          </w:tcPr>
          <w:p>
            <w:pPr>
              <w:jc w:val="left"/>
            </w:pPr>
            <w:r>
              <w:t>Label as mapping rules or sonification definitions, not theorems.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t>Anchor / ray / dual-anchor geometry</w:t>
            </w:r>
          </w:p>
        </w:tc>
        <w:tc>
          <w:tcPr>
            <w:tcW w:type="dxa" w:w="1584"/>
            <w:shd w:fill="EAF4EA"/>
            <w:vAlign w:val="center"/>
          </w:tcPr>
          <w:p>
            <w:pPr>
              <w:jc w:val="center"/>
            </w:pPr>
            <w:r>
              <w:rPr>
                <w:b/>
                <w:color w:val="006633"/>
              </w:rPr>
              <w:t>Solid</w:t>
            </w:r>
          </w:p>
        </w:tc>
        <w:tc>
          <w:tcPr>
            <w:tcW w:type="dxa" w:w="4032"/>
            <w:vAlign w:val="center"/>
          </w:tcPr>
          <w:p>
            <w:pPr>
              <w:jc w:val="left"/>
            </w:pPr>
            <w:r>
              <w:t>The line-through-point-with-angle form, axis intercepts, reconstruction from anchor plus angle plus distance, and dual-ray intersection are coherent geometry.</w:t>
            </w:r>
          </w:p>
        </w:tc>
        <w:tc>
          <w:tcPr>
            <w:tcW w:type="dxa" w:w="3312"/>
            <w:vAlign w:val="center"/>
          </w:tcPr>
          <w:p>
            <w:pPr>
              <w:jc w:val="left"/>
            </w:pPr>
            <w:r>
              <w:t>Add domain notes for vertical rays, parallel rays, angle wrap, and signed anchors.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t>Four positive axes with emergent z-axis</w:t>
            </w:r>
          </w:p>
        </w:tc>
        <w:tc>
          <w:tcPr>
            <w:tcW w:type="dxa" w:w="1584"/>
            <w:shd w:fill="EAF4EA"/>
            <w:vAlign w:val="center"/>
          </w:tcPr>
          <w:p>
            <w:pPr>
              <w:jc w:val="center"/>
            </w:pPr>
            <w:r>
              <w:rPr>
                <w:b/>
                <w:color w:val="006633"/>
              </w:rPr>
              <w:t>Solid</w:t>
            </w:r>
          </w:p>
        </w:tc>
        <w:tc>
          <w:tcPr>
            <w:tcW w:type="dxa" w:w="4032"/>
            <w:vAlign w:val="center"/>
          </w:tcPr>
          <w:p>
            <w:pPr>
              <w:jc w:val="left"/>
            </w:pPr>
            <w:r>
              <w:t>Strict positivity makes the log-ratio depth legal, and deviation-energy gives a strong nonnegative imbalance measure. This reads like a real structural geometry model.</w:t>
            </w:r>
          </w:p>
        </w:tc>
        <w:tc>
          <w:tcPr>
            <w:tcW w:type="dxa" w:w="3312"/>
            <w:vAlign w:val="center"/>
          </w:tcPr>
          <w:p>
            <w:pPr>
              <w:jc w:val="left"/>
            </w:pPr>
            <w:r>
              <w:t>Choose one canonical z-definition and relegate the others to alternatives.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t>Multi-zero field / growth systems equations</w:t>
            </w:r>
          </w:p>
        </w:tc>
        <w:tc>
          <w:tcPr>
            <w:tcW w:type="dxa" w:w="1584"/>
            <w:shd w:fill="EAF4EA"/>
            <w:vAlign w:val="center"/>
          </w:tcPr>
          <w:p>
            <w:pPr>
              <w:jc w:val="center"/>
            </w:pPr>
            <w:r>
              <w:rPr>
                <w:b/>
                <w:color w:val="006633"/>
              </w:rPr>
              <w:t>Solid</w:t>
            </w:r>
          </w:p>
        </w:tc>
        <w:tc>
          <w:tcPr>
            <w:tcW w:type="dxa" w:w="4032"/>
            <w:vAlign w:val="center"/>
          </w:tcPr>
          <w:p>
            <w:pPr>
              <w:jc w:val="left"/>
            </w:pPr>
            <w:r>
              <w:t>The field evolution law, coherence term, entropy proxy, growth term, weighted equilibrium field, and zero-coupling law form a consistent modelling framework.</w:t>
            </w:r>
          </w:p>
        </w:tc>
        <w:tc>
          <w:tcPr>
            <w:tcW w:type="dxa" w:w="3312"/>
            <w:vAlign w:val="center"/>
          </w:tcPr>
          <w:p>
            <w:pPr>
              <w:jc w:val="left"/>
            </w:pPr>
            <w:r>
              <w:t>Fix sign conventions, especially the equilibrium attraction term, so attraction is explicit in the equation.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t>Neutral trig / forward-propagating zero / restorative three-state family</w:t>
            </w:r>
          </w:p>
        </w:tc>
        <w:tc>
          <w:tcPr>
            <w:tcW w:type="dxa" w:w="1584"/>
            <w:shd w:fill="FCEBD8"/>
            <w:vAlign w:val="center"/>
          </w:tcPr>
          <w:p>
            <w:pPr>
              <w:jc w:val="center"/>
            </w:pPr>
            <w:r>
              <w:rPr>
                <w:b/>
                <w:color w:val="B45F06"/>
              </w:rPr>
              <w:t>Needs assumptions</w:t>
            </w:r>
          </w:p>
        </w:tc>
        <w:tc>
          <w:tcPr>
            <w:tcW w:type="dxa" w:w="4032"/>
            <w:vAlign w:val="center"/>
          </w:tcPr>
          <w:p>
            <w:pPr>
              <w:jc w:val="left"/>
            </w:pPr>
            <w:r>
              <w:t>The archive blends parity-neutrality, perturbational stability, and three-state restorative dynamics. Each idea is useful, but they are not the same mathematical object.</w:t>
            </w:r>
          </w:p>
        </w:tc>
        <w:tc>
          <w:tcPr>
            <w:tcW w:type="dxa" w:w="3312"/>
            <w:vAlign w:val="center"/>
          </w:tcPr>
          <w:p>
            <w:pPr>
              <w:jc w:val="left"/>
            </w:pPr>
            <w:r>
              <w:t>Split into separate definitions and state denominator restrictions and boundedness assumptions.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t>Neighbouring-power sine / cosine ratio families</w:t>
            </w:r>
          </w:p>
        </w:tc>
        <w:tc>
          <w:tcPr>
            <w:tcW w:type="dxa" w:w="1584"/>
            <w:shd w:fill="FCEBD8"/>
            <w:vAlign w:val="center"/>
          </w:tcPr>
          <w:p>
            <w:pPr>
              <w:jc w:val="center"/>
            </w:pPr>
            <w:r>
              <w:rPr>
                <w:b/>
                <w:color w:val="B45F06"/>
              </w:rPr>
              <w:t>Needs assumptions</w:t>
            </w:r>
          </w:p>
        </w:tc>
        <w:tc>
          <w:tcPr>
            <w:tcW w:type="dxa" w:w="4032"/>
            <w:vAlign w:val="center"/>
          </w:tcPr>
          <w:p>
            <w:pPr>
              <w:jc w:val="left"/>
            </w:pPr>
            <w:r>
              <w:t>Interesting field-generating equations, but they have unavoidable singular sets where denominators vanish. Behaviour depends heavily on domain exclusions.</w:t>
            </w:r>
          </w:p>
        </w:tc>
        <w:tc>
          <w:tcPr>
            <w:tcW w:type="dxa" w:w="3312"/>
            <w:vAlign w:val="center"/>
          </w:tcPr>
          <w:p>
            <w:pPr>
              <w:jc w:val="left"/>
            </w:pPr>
            <w:r>
              <w:t>State admissible domains explicitly and present excluded singular sets up front.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t>Dimensionless structural physics</w:t>
            </w:r>
          </w:p>
        </w:tc>
        <w:tc>
          <w:tcPr>
            <w:tcW w:type="dxa" w:w="1584"/>
            <w:shd w:fill="FCEBD8"/>
            <w:vAlign w:val="center"/>
          </w:tcPr>
          <w:p>
            <w:pPr>
              <w:jc w:val="center"/>
            </w:pPr>
            <w:r>
              <w:rPr>
                <w:b/>
                <w:color w:val="B45F06"/>
              </w:rPr>
              <w:t>Needs assumptions</w:t>
            </w:r>
          </w:p>
        </w:tc>
        <w:tc>
          <w:tcPr>
            <w:tcW w:type="dxa" w:w="4032"/>
            <w:vAlign w:val="center"/>
          </w:tcPr>
          <w:p>
            <w:pPr>
              <w:jc w:val="left"/>
            </w:pPr>
            <w:r>
              <w:t>The framework is promising, but scalar-vector mixing, componentwise operations, and nondimensionalization are not yet pinned down tightly enough for a mechanics theory.</w:t>
            </w:r>
          </w:p>
        </w:tc>
        <w:tc>
          <w:tcPr>
            <w:tcW w:type="dxa" w:w="3312"/>
            <w:vAlign w:val="center"/>
          </w:tcPr>
          <w:p>
            <w:pPr>
              <w:jc w:val="left"/>
            </w:pPr>
            <w:r>
              <w:t>Present it as a custom nondimensional simulation framework unless and until units, signs, and operators are fixed.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t>Wave-field perception / comfort–tension equations</w:t>
            </w:r>
          </w:p>
        </w:tc>
        <w:tc>
          <w:tcPr>
            <w:tcW w:type="dxa" w:w="1584"/>
            <w:shd w:fill="FCEBD8"/>
            <w:vAlign w:val="center"/>
          </w:tcPr>
          <w:p>
            <w:pPr>
              <w:jc w:val="center"/>
            </w:pPr>
            <w:r>
              <w:rPr>
                <w:b/>
                <w:color w:val="B45F06"/>
              </w:rPr>
              <w:t>Needs assumptions</w:t>
            </w:r>
          </w:p>
        </w:tc>
        <w:tc>
          <w:tcPr>
            <w:tcW w:type="dxa" w:w="4032"/>
            <w:vAlign w:val="center"/>
          </w:tcPr>
          <w:p>
            <w:pPr>
              <w:jc w:val="left"/>
            </w:pPr>
            <w:r>
              <w:t>Good signal/perception modelling. Harmonic constraints, smoothing, and bounded modulation are coherent, but the physics language is partly analogical.</w:t>
            </w:r>
          </w:p>
        </w:tc>
        <w:tc>
          <w:tcPr>
            <w:tcW w:type="dxa" w:w="3312"/>
            <w:vAlign w:val="center"/>
          </w:tcPr>
          <w:p>
            <w:pPr>
              <w:jc w:val="left"/>
            </w:pPr>
            <w:r>
              <w:t>Describe force–mass language as an analogy for perceptual state change, not a literal physical law.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t>Prime resonance ladders / forward prime field</w:t>
            </w:r>
          </w:p>
        </w:tc>
        <w:tc>
          <w:tcPr>
            <w:tcW w:type="dxa" w:w="1584"/>
            <w:shd w:fill="F3E8F7"/>
            <w:vAlign w:val="center"/>
          </w:tcPr>
          <w:p>
            <w:pPr>
              <w:jc w:val="center"/>
            </w:pPr>
            <w:r>
              <w:rPr>
                <w:b/>
                <w:color w:val="783C78"/>
              </w:rPr>
              <w:t>Symbolic / heuristic</w:t>
            </w:r>
          </w:p>
        </w:tc>
        <w:tc>
          <w:tcPr>
            <w:tcW w:type="dxa" w:w="4032"/>
            <w:vAlign w:val="center"/>
          </w:tcPr>
          <w:p>
            <w:pPr>
              <w:jc w:val="left"/>
            </w:pPr>
            <w:r>
              <w:t>Useful for candidate scoring and guided search, but not for proof. The value is heuristic selection, not primality certification.</w:t>
            </w:r>
          </w:p>
        </w:tc>
        <w:tc>
          <w:tcPr>
            <w:tcW w:type="dxa" w:w="3312"/>
            <w:vAlign w:val="center"/>
          </w:tcPr>
          <w:p>
            <w:pPr>
              <w:jc w:val="left"/>
            </w:pPr>
            <w:r>
              <w:t>Label clearly as search guidance or resonance scoring only.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t>1–2–4 logic cycle / mod-4 state algebra</w:t>
            </w:r>
          </w:p>
        </w:tc>
        <w:tc>
          <w:tcPr>
            <w:tcW w:type="dxa" w:w="1584"/>
            <w:shd w:fill="F3E8F7"/>
            <w:vAlign w:val="center"/>
          </w:tcPr>
          <w:p>
            <w:pPr>
              <w:jc w:val="center"/>
            </w:pPr>
            <w:r>
              <w:rPr>
                <w:b/>
                <w:color w:val="783C78"/>
              </w:rPr>
              <w:t>Symbolic / heuristic</w:t>
            </w:r>
          </w:p>
        </w:tc>
        <w:tc>
          <w:tcPr>
            <w:tcW w:type="dxa" w:w="4032"/>
            <w:vAlign w:val="center"/>
          </w:tcPr>
          <w:p>
            <w:pPr>
              <w:jc w:val="left"/>
            </w:pPr>
            <w:r>
              <w:t>The mod-4 cycling is formal, but the assigned meanings of Yes, Maybe, Branch, and No are interpretive layers rather than mathematical consequences.</w:t>
            </w:r>
          </w:p>
        </w:tc>
        <w:tc>
          <w:tcPr>
            <w:tcW w:type="dxa" w:w="3312"/>
            <w:vAlign w:val="center"/>
          </w:tcPr>
          <w:p>
            <w:pPr>
              <w:jc w:val="left"/>
            </w:pPr>
            <w:r>
              <w:t>Keep the modular core; mark the ontology as semantic or symbolic.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t>Memlogic chains, glyph ethics, Origin → Idea → Echo → Memory</w:t>
            </w:r>
          </w:p>
        </w:tc>
        <w:tc>
          <w:tcPr>
            <w:tcW w:type="dxa" w:w="1584"/>
            <w:shd w:fill="F3E8F7"/>
            <w:vAlign w:val="center"/>
          </w:tcPr>
          <w:p>
            <w:pPr>
              <w:jc w:val="center"/>
            </w:pPr>
            <w:r>
              <w:rPr>
                <w:b/>
                <w:color w:val="783C78"/>
              </w:rPr>
              <w:t>Symbolic / heuristic</w:t>
            </w:r>
          </w:p>
        </w:tc>
        <w:tc>
          <w:tcPr>
            <w:tcW w:type="dxa" w:w="4032"/>
            <w:vAlign w:val="center"/>
          </w:tcPr>
          <w:p>
            <w:pPr>
              <w:jc w:val="left"/>
            </w:pPr>
            <w:r>
              <w:t>Strong system architecture and design language, but these are not equations in the same sense as the entropy, geometry, or PDE sections.</w:t>
            </w:r>
          </w:p>
        </w:tc>
        <w:tc>
          <w:tcPr>
            <w:tcW w:type="dxa" w:w="3312"/>
            <w:vAlign w:val="center"/>
          </w:tcPr>
          <w:p>
            <w:pPr>
              <w:jc w:val="left"/>
            </w:pPr>
            <w:r>
              <w:t>Present as symbolic architecture, engine logic, or conceptual grammar.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t>“3 = 6” generative principle and similar slogans</w:t>
            </w:r>
          </w:p>
        </w:tc>
        <w:tc>
          <w:tcPr>
            <w:tcW w:type="dxa" w:w="1584"/>
            <w:shd w:fill="F3E8F7"/>
            <w:vAlign w:val="center"/>
          </w:tcPr>
          <w:p>
            <w:pPr>
              <w:jc w:val="center"/>
            </w:pPr>
            <w:r>
              <w:rPr>
                <w:b/>
                <w:color w:val="783C78"/>
              </w:rPr>
              <w:t>Symbolic / heuristic</w:t>
            </w:r>
          </w:p>
        </w:tc>
        <w:tc>
          <w:tcPr>
            <w:tcW w:type="dxa" w:w="4032"/>
            <w:vAlign w:val="center"/>
          </w:tcPr>
          <w:p>
            <w:pPr>
              <w:jc w:val="left"/>
            </w:pPr>
            <w:r>
              <w:t>Works well as a design principle when tied to three inputs producing six observables, but is not a free-standing mathematical identity.</w:t>
            </w:r>
          </w:p>
        </w:tc>
        <w:tc>
          <w:tcPr>
            <w:tcW w:type="dxa" w:w="3312"/>
            <w:vAlign w:val="center"/>
          </w:tcPr>
          <w:p>
            <w:pPr>
              <w:jc w:val="left"/>
            </w:pPr>
            <w:r>
              <w:t>Keep only where the input-to-observable map is stated explicitly.</w:t>
            </w:r>
          </w:p>
        </w:tc>
      </w:tr>
    </w:tbl>
    <w:p/>
    <w:p>
      <w:pPr>
        <w:pStyle w:val="Heading1"/>
      </w:pPr>
      <w:r>
        <w:t>Editorial rules to apply across the archive</w:t>
      </w:r>
    </w:p>
    <w:p>
      <w:r>
        <w:t>Mark every major family as one of four types: Definition, Model, Heuristic, or Symbolic principle.</w:t>
      </w:r>
    </w:p>
    <w:p>
      <w:r>
        <w:t>When a formula includes division, logarithms, or inverse trig structure, state the admissible domain explicitly.</w:t>
      </w:r>
    </w:p>
    <w:p>
      <w:r>
        <w:t>Keep one canonical equation per family. Move other versions into an Alternatives or Variants subsection.</w:t>
      </w:r>
    </w:p>
    <w:p>
      <w:r>
        <w:t>Separate definitions from interpretations. A symbolic meaning can be valuable without being a theorem.</w:t>
      </w:r>
    </w:p>
    <w:p>
      <w:r>
        <w:t>In the dynamics sections, make sign conventions explicit so attraction, damping, and growth cannot be read two ways.</w:t>
      </w:r>
    </w:p>
    <w:p>
      <w:pPr>
        <w:pStyle w:val="Heading1"/>
      </w:pPr>
      <w:r>
        <w:t>Recommended hierarchy for the master summary</w:t>
      </w:r>
    </w:p>
    <w:p>
      <w:r>
        <w:t>1. Computational core: prime / binary / entropy / sound mappings.</w:t>
      </w:r>
    </w:p>
    <w:p>
      <w:r>
        <w:t>2. Geometric core: anchor geometry and emergent-z imbalance geometry.</w:t>
      </w:r>
    </w:p>
    <w:p>
      <w:r>
        <w:t>3. Dynamical core: multi-zero field and growth equations.</w:t>
      </w:r>
    </w:p>
    <w:p>
      <w:r>
        <w:t>4. Exploratory models: neutral trig families, neighbouring-power ratios, and wave-field dynamics.</w:t>
      </w:r>
    </w:p>
    <w:p>
      <w:r>
        <w:t>5. Symbolic systems: 1–2–4 ontology, memlogic chains, and generative slogans.</w:t>
      </w:r>
    </w:p>
    <w:p>
      <w:pPr>
        <w:pStyle w:val="Heading1"/>
      </w:pPr>
      <w:r>
        <w:t>Bottom line</w:t>
      </w:r>
    </w:p>
    <w:p>
      <w:r>
        <w:rPr>
          <w:b/>
        </w:rPr>
        <w:t xml:space="preserve">The archive already contains several real mathematical cores. </w:t>
      </w:r>
      <w:r>
        <w:t>Its next improvement is not more invention but clearer labeling: keep the strongest computational, geometric, and dynamical frameworks central; tighten the promising models with assumptions; and present the symbolic systems honestly as symbolic systems.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444444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F4E79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